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B0D" w:rsidRDefault="00E24F08">
      <w:pPr>
        <w:pStyle w:val="Balk1"/>
        <w:spacing w:before="480" w:after="120"/>
        <w:jc w:val="center"/>
      </w:pPr>
      <w:bookmarkStart w:id="0" w:name="_Toc__MDRLNE_BAKANLIINA_1777451608496"/>
      <w:proofErr w:type="gramStart"/>
      <w:r>
        <w:rPr>
          <w:b w:val="0"/>
          <w:bCs w:val="0"/>
        </w:rPr>
        <w:t>..............................</w:t>
      </w:r>
      <w:proofErr w:type="gramEnd"/>
      <w:r>
        <w:rPr>
          <w:b w:val="0"/>
          <w:bCs w:val="0"/>
        </w:rPr>
        <w:t xml:space="preserve"> MÜDÜRLÜĞÜNE / BAŞKANLIĞINA</w:t>
      </w:r>
      <w:bookmarkEnd w:id="0"/>
    </w:p>
    <w:p w:rsidR="004F6B0D" w:rsidRDefault="00E24F08">
      <w:pPr>
        <w:spacing w:before="240" w:after="240" w:line="276" w:lineRule="auto"/>
        <w:jc w:val="both"/>
      </w:pPr>
      <w:r>
        <w:rPr>
          <w:color w:val="000000"/>
          <w:sz w:val="22"/>
          <w:szCs w:val="22"/>
        </w:rPr>
        <w:t xml:space="preserve">ADI </w:t>
      </w:r>
      <w:proofErr w:type="gramStart"/>
      <w:r>
        <w:rPr>
          <w:color w:val="000000"/>
          <w:sz w:val="22"/>
          <w:szCs w:val="22"/>
        </w:rPr>
        <w:t>SOYADI          :</w:t>
      </w:r>
      <w:proofErr w:type="gramEnd"/>
    </w:p>
    <w:p w:rsidR="004F6B0D" w:rsidRDefault="00E24F08">
      <w:pPr>
        <w:spacing w:before="240" w:after="240" w:line="276" w:lineRule="auto"/>
        <w:jc w:val="both"/>
      </w:pPr>
      <w:r>
        <w:rPr>
          <w:color w:val="000000"/>
          <w:sz w:val="22"/>
          <w:szCs w:val="22"/>
        </w:rPr>
        <w:t xml:space="preserve">T.C. KİMLİK </w:t>
      </w:r>
      <w:proofErr w:type="gramStart"/>
      <w:r>
        <w:rPr>
          <w:color w:val="000000"/>
          <w:sz w:val="22"/>
          <w:szCs w:val="22"/>
        </w:rPr>
        <w:t>NO      :</w:t>
      </w:r>
      <w:proofErr w:type="gramEnd"/>
    </w:p>
    <w:p w:rsidR="004F6B0D" w:rsidRDefault="00E24F08">
      <w:pPr>
        <w:spacing w:before="240" w:after="240" w:line="276" w:lineRule="auto"/>
        <w:jc w:val="both"/>
      </w:pPr>
      <w:r>
        <w:rPr>
          <w:color w:val="000000"/>
          <w:sz w:val="22"/>
          <w:szCs w:val="22"/>
        </w:rPr>
        <w:t xml:space="preserve">KURUM SİCİL </w:t>
      </w:r>
      <w:proofErr w:type="gramStart"/>
      <w:r>
        <w:rPr>
          <w:color w:val="000000"/>
          <w:sz w:val="22"/>
          <w:szCs w:val="22"/>
        </w:rPr>
        <w:t>NO      :</w:t>
      </w:r>
      <w:proofErr w:type="gramEnd"/>
    </w:p>
    <w:p w:rsidR="004F6B0D" w:rsidRDefault="00E24F08">
      <w:pPr>
        <w:spacing w:before="240" w:after="240" w:line="276" w:lineRule="auto"/>
        <w:jc w:val="both"/>
      </w:pPr>
      <w:r>
        <w:rPr>
          <w:color w:val="000000"/>
          <w:sz w:val="22"/>
          <w:szCs w:val="22"/>
        </w:rPr>
        <w:t xml:space="preserve">SENDİKA </w:t>
      </w:r>
      <w:proofErr w:type="gramStart"/>
      <w:r>
        <w:rPr>
          <w:color w:val="000000"/>
          <w:sz w:val="22"/>
          <w:szCs w:val="22"/>
        </w:rPr>
        <w:t xml:space="preserve">ADI        </w:t>
      </w:r>
      <w:r w:rsidR="00320886">
        <w:rPr>
          <w:color w:val="000000"/>
          <w:sz w:val="22"/>
          <w:szCs w:val="22"/>
        </w:rPr>
        <w:t xml:space="preserve">  </w:t>
      </w:r>
      <w:r>
        <w:rPr>
          <w:color w:val="000000"/>
          <w:sz w:val="22"/>
          <w:szCs w:val="22"/>
        </w:rPr>
        <w:t xml:space="preserve"> :</w:t>
      </w:r>
      <w:proofErr w:type="gramEnd"/>
    </w:p>
    <w:p w:rsidR="004F6B0D" w:rsidRDefault="00E24F08">
      <w:pPr>
        <w:spacing w:before="240" w:after="240" w:line="276" w:lineRule="auto"/>
        <w:jc w:val="both"/>
      </w:pPr>
      <w:r>
        <w:rPr>
          <w:color w:val="000000"/>
          <w:sz w:val="22"/>
          <w:szCs w:val="22"/>
        </w:rPr>
        <w:t xml:space="preserve">ADRES             </w:t>
      </w:r>
      <w:r w:rsidR="00320886">
        <w:rPr>
          <w:color w:val="000000"/>
          <w:sz w:val="22"/>
          <w:szCs w:val="22"/>
        </w:rPr>
        <w:t xml:space="preserve">         </w:t>
      </w:r>
      <w:bookmarkStart w:id="1" w:name="_GoBack"/>
      <w:bookmarkEnd w:id="1"/>
      <w:r>
        <w:rPr>
          <w:color w:val="000000"/>
          <w:sz w:val="22"/>
          <w:szCs w:val="22"/>
        </w:rPr>
        <w:t xml:space="preserve">  :</w:t>
      </w:r>
    </w:p>
    <w:p w:rsidR="004F6B0D" w:rsidRDefault="00E24F08">
      <w:pPr>
        <w:spacing w:before="240" w:after="240" w:line="276" w:lineRule="auto"/>
        <w:jc w:val="both"/>
      </w:pPr>
      <w:r>
        <w:rPr>
          <w:color w:val="000000"/>
          <w:sz w:val="22"/>
          <w:szCs w:val="22"/>
        </w:rPr>
        <w:t>KONU: Danıştay 12. Dairesinin 2025/2733 Sayılı Kararı ve Anayasa Mahkemesi'nin 18.01.2024 tarihli iptal kararı doğrultusunda, Ocak 2023 tarihinden itibaren eksik ödenen Toplu Sözleşme İkramiyesi farklarının yasal faiziyle birlikte tarafıma ödenmesi talebi.</w:t>
      </w:r>
    </w:p>
    <w:p w:rsidR="004F6B0D" w:rsidRPr="005A6754" w:rsidRDefault="00E24F08">
      <w:pPr>
        <w:spacing w:before="240" w:after="240" w:line="276" w:lineRule="auto"/>
        <w:jc w:val="both"/>
        <w:rPr>
          <w:b/>
        </w:rPr>
      </w:pPr>
      <w:r w:rsidRPr="005A6754">
        <w:rPr>
          <w:b/>
          <w:color w:val="000000"/>
          <w:sz w:val="22"/>
          <w:szCs w:val="22"/>
        </w:rPr>
        <w:t>AÇIKLAMALAR:</w:t>
      </w:r>
    </w:p>
    <w:p w:rsidR="004F6B0D" w:rsidRDefault="00E24F08" w:rsidP="005A6754">
      <w:pPr>
        <w:spacing w:before="240" w:after="240" w:line="276" w:lineRule="auto"/>
        <w:ind w:firstLine="708"/>
        <w:jc w:val="both"/>
      </w:pPr>
      <w:r>
        <w:rPr>
          <w:color w:val="000000"/>
          <w:sz w:val="22"/>
          <w:szCs w:val="22"/>
        </w:rPr>
        <w:t>7429 sayılı Kanun ve ilgili mevzuat ile getirilen "yüzde iki barajı" düzenlemesi uyarınca, üyesi olduğum sendikanın baraj altında kaldığı gerekçesiyle Ocak 2023 tarihinden itibaren tarafıma "Toplu Sözleşme İkramiyesi" yerine daha düşük tutarlı olan "Toplu Sözleşme Desteği" ödemesi yapılmıştır.</w:t>
      </w:r>
    </w:p>
    <w:p w:rsidR="004F6B0D" w:rsidRDefault="00E24F08" w:rsidP="005A6754">
      <w:pPr>
        <w:spacing w:before="240" w:after="240" w:line="276" w:lineRule="auto"/>
        <w:ind w:firstLine="708"/>
        <w:jc w:val="both"/>
      </w:pPr>
      <w:r>
        <w:rPr>
          <w:color w:val="000000"/>
          <w:sz w:val="22"/>
          <w:szCs w:val="22"/>
        </w:rPr>
        <w:t>Söz konusu baraj uygulaması, Anayasa Mahkemesi’nin 18/01/2024 tarih ve E:2023/12, K:2024/12 sayılı kararı ile Anayasa’nın eşitlik ilkesine ve sendikal özgürlüklere aykırı bulunarak iptal edilmiştir. Bu iptal kararına bağlı olarak Danıştay 12. Dairesi de 2023/74 Esas ve 2025/2733 Karar sayılı ilamı ile baraj altında kalan sendika üyelerine eksik ödeme yapılmasına neden olan düzenlemeyi iptal etmiş ve yoksun kalınan tutarların dava tarihinden itibaren işleyecek yasal faiziyle birlikte ödenmesine hükmetmiştir.</w:t>
      </w:r>
    </w:p>
    <w:p w:rsidR="004F6B0D" w:rsidRDefault="00E24F08" w:rsidP="005A6754">
      <w:pPr>
        <w:spacing w:before="240" w:after="240" w:line="276" w:lineRule="auto"/>
        <w:ind w:firstLine="708"/>
        <w:jc w:val="both"/>
      </w:pPr>
      <w:r>
        <w:rPr>
          <w:color w:val="000000"/>
          <w:sz w:val="22"/>
          <w:szCs w:val="22"/>
        </w:rPr>
        <w:t>Anayasa’nın 138. maddesi uyarınca idare, mahkeme kararlarına uymak ve bu kararların gereğini geciktirmeksizin yerine getirmekle yükümlüdür. Bu kapsamda, Ocak 2023 tarihinden itibaren sendika üyesi olmam hasebiyle mahrum kaldığım "Toplu Sözleşme İkramiyesi" ile tarafıma ödenen "Toplu Sözleşme Desteği" arasındaki farkların hesaplanarak, her bir ödeme döneminden itibaren işleyecek yasal faiziyle birlikte tarafıma ödenmesini arz ve talep ederim.</w:t>
      </w:r>
    </w:p>
    <w:p w:rsidR="004F6B0D" w:rsidRDefault="00E24F08" w:rsidP="005A6754">
      <w:pPr>
        <w:spacing w:before="240" w:after="240" w:line="276" w:lineRule="auto"/>
        <w:ind w:left="6372" w:firstLine="708"/>
        <w:jc w:val="both"/>
      </w:pPr>
      <w:r>
        <w:rPr>
          <w:color w:val="000000"/>
          <w:sz w:val="22"/>
          <w:szCs w:val="22"/>
        </w:rPr>
        <w:t>Tarih: .../.../2026</w:t>
      </w:r>
    </w:p>
    <w:p w:rsidR="005A6754" w:rsidRDefault="005A6754" w:rsidP="005A6754">
      <w:pPr>
        <w:spacing w:before="240" w:after="240" w:line="276" w:lineRule="auto"/>
        <w:ind w:left="7080" w:firstLine="708"/>
        <w:jc w:val="both"/>
        <w:rPr>
          <w:color w:val="000000"/>
          <w:sz w:val="22"/>
          <w:szCs w:val="22"/>
        </w:rPr>
      </w:pPr>
      <w:r>
        <w:rPr>
          <w:color w:val="000000"/>
          <w:sz w:val="22"/>
          <w:szCs w:val="22"/>
        </w:rPr>
        <w:t>(İmza)</w:t>
      </w:r>
    </w:p>
    <w:p w:rsidR="004F6B0D" w:rsidRDefault="005A6754" w:rsidP="005A6754">
      <w:pPr>
        <w:spacing w:before="240" w:after="240" w:line="276" w:lineRule="auto"/>
        <w:jc w:val="both"/>
      </w:pPr>
      <w:r>
        <w:rPr>
          <w:color w:val="000000"/>
          <w:sz w:val="22"/>
          <w:szCs w:val="22"/>
        </w:rPr>
        <w:t xml:space="preserve">                                                                                                                                      (</w:t>
      </w:r>
      <w:r w:rsidR="00E24F08">
        <w:rPr>
          <w:color w:val="000000"/>
          <w:sz w:val="22"/>
          <w:szCs w:val="22"/>
        </w:rPr>
        <w:t>Ad Soyad</w:t>
      </w:r>
      <w:r>
        <w:rPr>
          <w:color w:val="000000"/>
          <w:sz w:val="22"/>
          <w:szCs w:val="22"/>
        </w:rPr>
        <w:t>ı)</w:t>
      </w:r>
    </w:p>
    <w:p w:rsidR="004F6B0D" w:rsidRDefault="004F6B0D">
      <w:pPr>
        <w:spacing w:before="240" w:after="240" w:line="276" w:lineRule="auto"/>
        <w:jc w:val="both"/>
      </w:pPr>
    </w:p>
    <w:sectPr w:rsidR="004F6B0D">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A55" w:rsidRDefault="00402A55">
      <w:r>
        <w:separator/>
      </w:r>
    </w:p>
  </w:endnote>
  <w:endnote w:type="continuationSeparator" w:id="0">
    <w:p w:rsidR="00402A55" w:rsidRDefault="0040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0D" w:rsidRDefault="00E24F08">
    <w:pPr>
      <w:jc w:val="center"/>
    </w:pPr>
    <w:r>
      <w:fldChar w:fldCharType="begin"/>
    </w:r>
    <w:r>
      <w:instrText>PAGE</w:instrText>
    </w:r>
    <w:r>
      <w:fldChar w:fldCharType="separate"/>
    </w:r>
    <w:r w:rsidR="00320886">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A55" w:rsidRDefault="00402A55">
      <w:r>
        <w:separator/>
      </w:r>
    </w:p>
  </w:footnote>
  <w:footnote w:type="continuationSeparator" w:id="0">
    <w:p w:rsidR="00402A55" w:rsidRDefault="00402A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5E85"/>
    <w:multiLevelType w:val="hybridMultilevel"/>
    <w:tmpl w:val="A3F68C82"/>
    <w:lvl w:ilvl="0" w:tplc="CD34FD5C">
      <w:start w:val="1"/>
      <w:numFmt w:val="bullet"/>
      <w:lvlText w:val="●"/>
      <w:lvlJc w:val="left"/>
      <w:pPr>
        <w:ind w:left="720" w:hanging="360"/>
      </w:pPr>
    </w:lvl>
    <w:lvl w:ilvl="1" w:tplc="5574AD1C">
      <w:start w:val="1"/>
      <w:numFmt w:val="bullet"/>
      <w:lvlText w:val="○"/>
      <w:lvlJc w:val="left"/>
      <w:pPr>
        <w:ind w:left="1440" w:hanging="360"/>
      </w:pPr>
    </w:lvl>
    <w:lvl w:ilvl="2" w:tplc="99003EAA">
      <w:start w:val="1"/>
      <w:numFmt w:val="bullet"/>
      <w:lvlText w:val="■"/>
      <w:lvlJc w:val="left"/>
      <w:pPr>
        <w:ind w:left="2160" w:hanging="360"/>
      </w:pPr>
    </w:lvl>
    <w:lvl w:ilvl="3" w:tplc="90E65546">
      <w:start w:val="1"/>
      <w:numFmt w:val="bullet"/>
      <w:lvlText w:val="●"/>
      <w:lvlJc w:val="left"/>
      <w:pPr>
        <w:ind w:left="2880" w:hanging="360"/>
      </w:pPr>
    </w:lvl>
    <w:lvl w:ilvl="4" w:tplc="CD8E6D06">
      <w:start w:val="1"/>
      <w:numFmt w:val="bullet"/>
      <w:lvlText w:val="○"/>
      <w:lvlJc w:val="left"/>
      <w:pPr>
        <w:ind w:left="3600" w:hanging="360"/>
      </w:pPr>
    </w:lvl>
    <w:lvl w:ilvl="5" w:tplc="F1921F4E">
      <w:start w:val="1"/>
      <w:numFmt w:val="bullet"/>
      <w:lvlText w:val="■"/>
      <w:lvlJc w:val="left"/>
      <w:pPr>
        <w:ind w:left="4320" w:hanging="360"/>
      </w:pPr>
    </w:lvl>
    <w:lvl w:ilvl="6" w:tplc="732E4C4C">
      <w:start w:val="1"/>
      <w:numFmt w:val="bullet"/>
      <w:lvlText w:val="●"/>
      <w:lvlJc w:val="left"/>
      <w:pPr>
        <w:ind w:left="5040" w:hanging="360"/>
      </w:pPr>
    </w:lvl>
    <w:lvl w:ilvl="7" w:tplc="72E654A8">
      <w:start w:val="1"/>
      <w:numFmt w:val="bullet"/>
      <w:lvlText w:val="●"/>
      <w:lvlJc w:val="left"/>
      <w:pPr>
        <w:ind w:left="5760" w:hanging="360"/>
      </w:pPr>
    </w:lvl>
    <w:lvl w:ilvl="8" w:tplc="46AA458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0D"/>
    <w:rsid w:val="00320886"/>
    <w:rsid w:val="00402A55"/>
    <w:rsid w:val="004F6B0D"/>
    <w:rsid w:val="005A6754"/>
    <w:rsid w:val="00814659"/>
    <w:rsid w:val="009909EF"/>
    <w:rsid w:val="00DE300B"/>
    <w:rsid w:val="00E24F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B81A"/>
  <w15:docId w15:val="{65AF5AF4-B54D-4A1D-B842-3B2C5D6F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qFormat/>
    <w:pPr>
      <w:spacing w:before="360" w:after="240"/>
      <w:outlineLvl w:val="0"/>
    </w:pPr>
    <w:rPr>
      <w:b/>
      <w:bCs/>
      <w:color w:val="000000"/>
      <w:sz w:val="24"/>
      <w:szCs w:val="24"/>
    </w:rPr>
  </w:style>
  <w:style w:type="paragraph" w:styleId="Balk2">
    <w:name w:val="heading 2"/>
    <w:qFormat/>
    <w:pPr>
      <w:spacing w:before="320" w:after="160"/>
      <w:outlineLvl w:val="1"/>
    </w:pPr>
    <w:rPr>
      <w:b/>
      <w:bCs/>
      <w:color w:val="000000"/>
    </w:rPr>
  </w:style>
  <w:style w:type="paragraph" w:styleId="Balk3">
    <w:name w:val="heading 3"/>
    <w:qFormat/>
    <w:pPr>
      <w:spacing w:before="280" w:after="120"/>
      <w:outlineLvl w:val="2"/>
    </w:pPr>
    <w:rPr>
      <w:b/>
      <w:bCs/>
      <w:color w:val="000000"/>
      <w:sz w:val="16"/>
      <w:szCs w:val="16"/>
    </w:rPr>
  </w:style>
  <w:style w:type="paragraph" w:styleId="Balk4">
    <w:name w:val="heading 4"/>
    <w:qFormat/>
    <w:pPr>
      <w:spacing w:before="240" w:after="120"/>
      <w:outlineLvl w:val="3"/>
    </w:pPr>
    <w:rPr>
      <w:b/>
      <w:bCs/>
      <w:color w:val="000000"/>
      <w:sz w:val="12"/>
      <w:szCs w:val="12"/>
    </w:rPr>
  </w:style>
  <w:style w:type="paragraph" w:styleId="Balk5">
    <w:name w:val="heading 5"/>
    <w:qFormat/>
    <w:pPr>
      <w:spacing w:before="220" w:after="100"/>
      <w:outlineLvl w:val="4"/>
    </w:pPr>
    <w:rPr>
      <w:b/>
      <w:bCs/>
      <w:color w:val="000000"/>
      <w:sz w:val="8"/>
      <w:szCs w:val="8"/>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pPr>
      <w:spacing w:after="240" w:line="276" w:lineRule="auto"/>
      <w:jc w:val="center"/>
    </w:pPr>
    <w:rPr>
      <w:b/>
      <w:bCs/>
      <w:color w:val="000000"/>
      <w:sz w:val="24"/>
      <w:szCs w:val="24"/>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paragraph" w:customStyle="1" w:styleId="Gl2">
    <w:name w:val="Güçlü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280</Words>
  <Characters>1597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5</cp:revision>
  <dcterms:created xsi:type="dcterms:W3CDTF">2026-04-30T09:19:00Z</dcterms:created>
  <dcterms:modified xsi:type="dcterms:W3CDTF">2026-05-04T08:30:00Z</dcterms:modified>
</cp:coreProperties>
</file>